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CF6FBA">
      <w:pPr>
        <w:rPr>
          <w:smallCaps/>
          <w:sz w:val="28"/>
          <w:szCs w:val="28"/>
        </w:rPr>
      </w:pPr>
      <w:r>
        <w:rPr>
          <w:smallCaps/>
          <w:sz w:val="28"/>
          <w:szCs w:val="28"/>
        </w:rPr>
        <w:t>Investment Subcommittee for the Board of Regents</w:t>
      </w:r>
    </w:p>
    <w:p w:rsidR="00252BF9" w:rsidRPr="0006483A" w:rsidRDefault="00252BF9" w:rsidP="00252BF9">
      <w:pPr>
        <w:jc w:val="both"/>
        <w:rPr>
          <w:rFonts w:ascii="Calibri" w:hAnsi="Calibri" w:cs="Arial"/>
        </w:rPr>
      </w:pPr>
    </w:p>
    <w:p w:rsidR="00CF6FBA" w:rsidRPr="00B95A58" w:rsidRDefault="00CF6FBA" w:rsidP="00CF6FBA">
      <w:r w:rsidRPr="00B95A58">
        <w:t>The Investment Committee shall consist of the Chairman of the Business and Finance Committee, the President of the University, and the Chief Financial Officer of the University. Two (2) additional members shall be appointed by the Chairman of the Board of Regents.</w:t>
      </w:r>
    </w:p>
    <w:p w:rsidR="00CF6FBA" w:rsidRPr="00B95A58" w:rsidRDefault="00CF6FBA" w:rsidP="00CF6FBA">
      <w:pPr>
        <w:pStyle w:val="Heading2"/>
        <w:rPr>
          <w:rFonts w:ascii="Times New Roman" w:hAnsi="Times New Roman"/>
          <w:i w:val="0"/>
        </w:rPr>
      </w:pPr>
      <w:r w:rsidRPr="00B95A58">
        <w:rPr>
          <w:rFonts w:ascii="Times New Roman" w:hAnsi="Times New Roman"/>
          <w:i w:val="0"/>
        </w:rPr>
        <w:t>Powers and Duties</w:t>
      </w:r>
    </w:p>
    <w:p w:rsidR="00CF6FBA" w:rsidRPr="00B95A58" w:rsidRDefault="00CF6FBA" w:rsidP="00CF6FBA">
      <w:pPr>
        <w:pStyle w:val="Heading2"/>
        <w:numPr>
          <w:ilvl w:val="0"/>
          <w:numId w:val="2"/>
        </w:numPr>
        <w:rPr>
          <w:rFonts w:ascii="Times New Roman" w:hAnsi="Times New Roman"/>
          <w:b w:val="0"/>
          <w:i w:val="0"/>
        </w:rPr>
      </w:pPr>
      <w:r w:rsidRPr="00B95A58">
        <w:rPr>
          <w:rFonts w:ascii="Times New Roman" w:hAnsi="Times New Roman"/>
          <w:b w:val="0"/>
          <w:i w:val="0"/>
        </w:rPr>
        <w:t>The Investment Committee shall have the power to buy, sell, change or exchange any stocks, bonds, or securities now held by or to become property of the University, to pledge any such as security for a loan to the University, and/or to invest funds of the University not needed for immediate operation or funds held for restricted purposes.</w:t>
      </w:r>
    </w:p>
    <w:p w:rsidR="00CF6FBA" w:rsidRPr="00B95A58" w:rsidRDefault="00CF6FBA" w:rsidP="00CF6FBA"/>
    <w:p w:rsidR="00CF6FBA" w:rsidRPr="00B95A58" w:rsidRDefault="00CF6FBA" w:rsidP="00CF6FBA">
      <w:pPr>
        <w:numPr>
          <w:ilvl w:val="0"/>
          <w:numId w:val="2"/>
        </w:numPr>
      </w:pPr>
      <w:r w:rsidRPr="00B95A58">
        <w:t>Use such brokers, banks or other agencies as they deem advisable or necessary to achieve the objectives of the University.</w:t>
      </w:r>
    </w:p>
    <w:p w:rsidR="00CF6FBA" w:rsidRPr="00B95A58" w:rsidRDefault="00CF6FBA" w:rsidP="00CF6FBA"/>
    <w:p w:rsidR="00CF6FBA" w:rsidRPr="00B95A58" w:rsidRDefault="00CF6FBA" w:rsidP="00CF6FBA">
      <w:pPr>
        <w:numPr>
          <w:ilvl w:val="0"/>
          <w:numId w:val="2"/>
        </w:numPr>
      </w:pPr>
      <w:r w:rsidRPr="00B95A58">
        <w:t>Accept or reject, as their judgment indicates, all non-cash gifts proffered to the University</w:t>
      </w:r>
      <w:r w:rsidRPr="00B95A58">
        <w:rPr>
          <w:b/>
        </w:rPr>
        <w:t xml:space="preserve"> </w:t>
      </w:r>
      <w:r w:rsidRPr="00B95A58">
        <w:t>including stocks, bonds, real estate or partial interests therein.  If proffered gifts shall have an existing indebtedness and/or ecological liabilities, they shall be referred to the Executive Committee</w:t>
      </w:r>
      <w:r w:rsidRPr="00B95A58">
        <w:rPr>
          <w:b/>
        </w:rPr>
        <w:t xml:space="preserve"> </w:t>
      </w:r>
      <w:r w:rsidRPr="00B95A58">
        <w:t>for review and authorized by the Board of Regents when it is deemed in the best interest of the University.</w:t>
      </w:r>
    </w:p>
    <w:p w:rsidR="00CF6FBA" w:rsidRPr="00B95A58" w:rsidRDefault="00CF6FBA" w:rsidP="00CF6FBA"/>
    <w:p w:rsidR="00CF6FBA" w:rsidRPr="00B95A58" w:rsidRDefault="00CF6FBA" w:rsidP="00CF6FBA">
      <w:pPr>
        <w:numPr>
          <w:ilvl w:val="0"/>
          <w:numId w:val="2"/>
        </w:numPr>
      </w:pPr>
      <w:r w:rsidRPr="00B95A58">
        <w:t>Seek such financial counsel as in its judgment will make possible the wisest investment of the funds of the institution, but which will also be sensitive to the types of investments that are appropriate for Southwestern Christian University.</w:t>
      </w:r>
    </w:p>
    <w:p w:rsidR="00CF6FBA" w:rsidRPr="00B95A58" w:rsidRDefault="00CF6FBA" w:rsidP="00CF6FBA"/>
    <w:p w:rsidR="00CF6FBA" w:rsidRPr="00B95A58" w:rsidRDefault="00CF6FBA" w:rsidP="00CF6FBA">
      <w:pPr>
        <w:numPr>
          <w:ilvl w:val="0"/>
          <w:numId w:val="2"/>
        </w:numPr>
      </w:pPr>
      <w:r w:rsidRPr="00B95A58">
        <w:t>The committee shall establish general operating guidelines for, and monitor closely the performance of an investment or an investment manager.</w:t>
      </w:r>
    </w:p>
    <w:p w:rsidR="00CF6FBA" w:rsidRPr="00B95A58" w:rsidRDefault="00CF6FBA" w:rsidP="00CF6FBA"/>
    <w:p w:rsidR="00CF6FBA" w:rsidRPr="00B95A58" w:rsidRDefault="00CF6FBA" w:rsidP="00CF6FBA">
      <w:pPr>
        <w:numPr>
          <w:ilvl w:val="0"/>
          <w:numId w:val="2"/>
        </w:numPr>
      </w:pPr>
      <w:r w:rsidRPr="00B95A58">
        <w:t>The Investment Subcommittee shall report its actions, recommendations or findings to the Standing Board Committee on Business and Finance semiannually.</w:t>
      </w:r>
    </w:p>
    <w:p w:rsidR="00B87BA3" w:rsidRDefault="00B87BA3" w:rsidP="005A62E0"/>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59B" w:rsidRDefault="00FD159B">
      <w:r>
        <w:separator/>
      </w:r>
    </w:p>
  </w:endnote>
  <w:endnote w:type="continuationSeparator" w:id="0">
    <w:p w:rsidR="00FD159B" w:rsidRDefault="00FD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59B" w:rsidRDefault="00FD159B">
      <w:r>
        <w:separator/>
      </w:r>
    </w:p>
  </w:footnote>
  <w:footnote w:type="continuationSeparator" w:id="0">
    <w:p w:rsidR="00FD159B" w:rsidRDefault="00FD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46F84"/>
    <w:multiLevelType w:val="multilevel"/>
    <w:tmpl w:val="039CD7A8"/>
    <w:lvl w:ilvl="0">
      <w:start w:val="1"/>
      <w:numFmt w:val="decimal"/>
      <w:lvlText w:val="%1."/>
      <w:lvlJc w:val="left"/>
      <w:pPr>
        <w:tabs>
          <w:tab w:val="num" w:pos="540"/>
        </w:tabs>
        <w:ind w:left="540" w:hanging="540"/>
      </w:pPr>
      <w:rPr>
        <w:rFonts w:hint="default"/>
      </w:rPr>
    </w:lvl>
    <w:lvl w:ilvl="1">
      <w:start w:val="2"/>
      <w:numFmt w:val="decimalZero"/>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372DCF"/>
    <w:rsid w:val="00455150"/>
    <w:rsid w:val="005A62E0"/>
    <w:rsid w:val="00600D15"/>
    <w:rsid w:val="006F51F1"/>
    <w:rsid w:val="0074760D"/>
    <w:rsid w:val="007C12AE"/>
    <w:rsid w:val="00931E99"/>
    <w:rsid w:val="00955BA6"/>
    <w:rsid w:val="00A24D37"/>
    <w:rsid w:val="00B87BA3"/>
    <w:rsid w:val="00CF6FBA"/>
    <w:rsid w:val="00D5255F"/>
    <w:rsid w:val="00DA5B84"/>
    <w:rsid w:val="00E92859"/>
    <w:rsid w:val="00E93873"/>
    <w:rsid w:val="00F86A77"/>
    <w:rsid w:val="00FD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E376924-7E04-4038-8E61-A491A824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CF6FBA"/>
    <w:pPr>
      <w:keepNext/>
      <w:spacing w:before="240" w:after="60"/>
      <w:outlineLvl w:val="1"/>
    </w:pPr>
    <w:rPr>
      <w:rFonts w:ascii="Arial" w:hAnsi="Arial"/>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F6FBA"/>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